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EDA" w:rsidRDefault="00F93EDA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F93EDA" w:rsidRDefault="00F93EDA">
      <w:pPr>
        <w:pStyle w:val="ConsPlusNormal"/>
        <w:jc w:val="both"/>
        <w:outlineLvl w:val="0"/>
      </w:pPr>
    </w:p>
    <w:p w:rsidR="00F93EDA" w:rsidRDefault="00F93EDA">
      <w:pPr>
        <w:pStyle w:val="ConsPlusNormal"/>
        <w:outlineLvl w:val="0"/>
      </w:pPr>
      <w:r>
        <w:t>Зарегистрировано в Минюсте России 24 января 2023 г. N 72111</w:t>
      </w:r>
    </w:p>
    <w:p w:rsidR="00F93EDA" w:rsidRDefault="00F93ED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jc w:val="center"/>
      </w:pPr>
      <w:r>
        <w:t>МИНИСТЕРСТВО ПРОСВЕЩЕНИЯ РОССИЙСКОЙ ФЕДЕРАЦИИ</w:t>
      </w:r>
    </w:p>
    <w:p w:rsidR="00F93EDA" w:rsidRDefault="00F93EDA">
      <w:pPr>
        <w:pStyle w:val="ConsPlusTitle"/>
        <w:jc w:val="center"/>
      </w:pPr>
    </w:p>
    <w:p w:rsidR="00F93EDA" w:rsidRDefault="00F93EDA">
      <w:pPr>
        <w:pStyle w:val="ConsPlusTitle"/>
        <w:jc w:val="center"/>
      </w:pPr>
      <w:r>
        <w:t>ПРИКАЗ</w:t>
      </w:r>
    </w:p>
    <w:p w:rsidR="00F93EDA" w:rsidRDefault="00F93EDA">
      <w:pPr>
        <w:pStyle w:val="ConsPlusTitle"/>
        <w:jc w:val="center"/>
      </w:pPr>
      <w:r>
        <w:t>от 12 декабря 2022 г. N 1100</w:t>
      </w:r>
    </w:p>
    <w:p w:rsidR="00F93EDA" w:rsidRDefault="00F93EDA">
      <w:pPr>
        <w:pStyle w:val="ConsPlusTitle"/>
        <w:jc w:val="center"/>
      </w:pPr>
    </w:p>
    <w:p w:rsidR="00F93EDA" w:rsidRDefault="00F93EDA">
      <w:pPr>
        <w:pStyle w:val="ConsPlusTitle"/>
        <w:jc w:val="center"/>
      </w:pPr>
      <w:r>
        <w:t>ОБ УТВЕРЖДЕНИИ</w:t>
      </w:r>
    </w:p>
    <w:p w:rsidR="00F93EDA" w:rsidRDefault="00F93EDA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F93EDA" w:rsidRDefault="00F93EDA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F93EDA" w:rsidRDefault="00F93EDA">
      <w:pPr>
        <w:pStyle w:val="ConsPlusTitle"/>
        <w:jc w:val="center"/>
      </w:pPr>
      <w:r>
        <w:t>43.02.16 ТУРИЗМ И ГОСТЕПРИИМСТВО</w:t>
      </w:r>
    </w:p>
    <w:p w:rsidR="00F93EDA" w:rsidRDefault="00F93ED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F93ED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EDA" w:rsidRDefault="00F93ED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EDA" w:rsidRDefault="00F93ED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93EDA" w:rsidRDefault="00F93ED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3EDA" w:rsidRDefault="00F93ED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03.07.2024 N 464)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EDA" w:rsidRDefault="00F93EDA">
            <w:pPr>
              <w:pStyle w:val="ConsPlusNormal"/>
            </w:pPr>
          </w:p>
        </w:tc>
      </w:tr>
    </w:tbl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подпунктом 4.2.30 пункта 4</w:t>
        </w:r>
      </w:hyperlink>
      <w: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и </w:t>
      </w:r>
      <w:hyperlink r:id="rId8">
        <w:r>
          <w:rPr>
            <w:color w:val="0000FF"/>
          </w:rPr>
          <w:t>пунктом 27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 (Собрание законодательства Российской Федерации, 2019, N 16, ст. 1942), приказываю: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43.02.16 Туризм и гостеприимство (далее - стандарт).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 Установить, что: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образовательная организация вправе осуществлять в соответствии со </w:t>
      </w:r>
      <w:hyperlink w:anchor="P34">
        <w:r>
          <w:rPr>
            <w:color w:val="0000FF"/>
          </w:rPr>
          <w:t>стандартом</w:t>
        </w:r>
      </w:hyperlink>
      <w:r>
        <w:t xml:space="preserve"> обучение лиц, зачисленных до вступления в силу настоящего приказа, с их согласия;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прием на обучение в соответствии с федеральным государственным образовательным </w:t>
      </w:r>
      <w:hyperlink r:id="rId9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10">
        <w:r>
          <w:rPr>
            <w:color w:val="0000FF"/>
          </w:rPr>
          <w:t>43.02.10</w:t>
        </w:r>
      </w:hyperlink>
      <w:r>
        <w:t xml:space="preserve"> Туризм, утвержденным приказом Министерства образования и науки Российской Федерации от 7 мая 2014 г. N 474 (зарегистрирован Министерством юстиции Российской Федерации 19 июня 2014 г., регистрационный N 32806), с изменениями, внесенными приказом Министерства просвещения Российской Федерации от 13 июля 2021 г. N 450 (зарегистрирован Министерством юстиции Российской Федерации 14 октября 2021 г., регистрационный N 65410), и федеральным государственным образовательным </w:t>
      </w:r>
      <w:hyperlink r:id="rId11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12">
        <w:r>
          <w:rPr>
            <w:color w:val="0000FF"/>
          </w:rPr>
          <w:t>43.02.14</w:t>
        </w:r>
      </w:hyperlink>
      <w:r>
        <w:t xml:space="preserve"> Гостиничное дело, утвержденным приказом Министерства образования и науки Российской Федерации от 9 декабря 2016 г. N 1552 (зарегистрирован Министерством юстиции Российской Федерации 26 декабря 2016 г., регистрационный N 44974), с изменениями, внесенными приказом Министерства просвещения Российской Федерации от 17 декабря 2020 г. N 747 (зарегистрирован Министерством юстиции Российской Федерации 22 января 2021 г., регистрационный N 62178), прекращается с 1 февраля 2023 года.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right"/>
      </w:pPr>
      <w:r>
        <w:t>Министр</w:t>
      </w:r>
    </w:p>
    <w:p w:rsidR="00F93EDA" w:rsidRDefault="00F93EDA">
      <w:pPr>
        <w:pStyle w:val="ConsPlusNormal"/>
        <w:jc w:val="right"/>
      </w:pPr>
      <w:r>
        <w:t>С.С.КРАВЦОВ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right"/>
        <w:outlineLvl w:val="0"/>
      </w:pPr>
      <w:r>
        <w:t>Утвержден</w:t>
      </w:r>
    </w:p>
    <w:p w:rsidR="00F93EDA" w:rsidRDefault="00F93EDA">
      <w:pPr>
        <w:pStyle w:val="ConsPlusNormal"/>
        <w:jc w:val="right"/>
      </w:pPr>
      <w:r>
        <w:t>приказом Министерства просвещения</w:t>
      </w:r>
    </w:p>
    <w:p w:rsidR="00F93EDA" w:rsidRDefault="00F93EDA">
      <w:pPr>
        <w:pStyle w:val="ConsPlusNormal"/>
        <w:jc w:val="right"/>
      </w:pPr>
      <w:r>
        <w:t>Российской Федерации</w:t>
      </w:r>
    </w:p>
    <w:p w:rsidR="00F93EDA" w:rsidRDefault="00F93EDA">
      <w:pPr>
        <w:pStyle w:val="ConsPlusNormal"/>
        <w:jc w:val="right"/>
      </w:pPr>
      <w:r>
        <w:t>от 12 декабря 2022 г. N 1100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jc w:val="center"/>
      </w:pPr>
      <w:bookmarkStart w:id="0" w:name="P34"/>
      <w:bookmarkEnd w:id="0"/>
      <w:r>
        <w:t>ФЕДЕРАЛЬНЫЙ ГОСУДАРСТВЕННЫЙ ОБРАЗОВАТЕЛЬНЫЙ СТАНДАРТ</w:t>
      </w:r>
    </w:p>
    <w:p w:rsidR="00F93EDA" w:rsidRDefault="00F93EDA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F93EDA" w:rsidRDefault="00F93EDA">
      <w:pPr>
        <w:pStyle w:val="ConsPlusTitle"/>
        <w:jc w:val="center"/>
      </w:pPr>
      <w:r>
        <w:t>43.02.16 ТУРИЗМ И ГОСТЕПРИИМСТВО</w:t>
      </w:r>
    </w:p>
    <w:p w:rsidR="00F93EDA" w:rsidRDefault="00F93ED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F93ED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EDA" w:rsidRDefault="00F93ED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EDA" w:rsidRDefault="00F93ED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93EDA" w:rsidRDefault="00F93ED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3EDA" w:rsidRDefault="00F93ED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03.07.2024 N 464)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3EDA" w:rsidRDefault="00F93EDA">
            <w:pPr>
              <w:pStyle w:val="ConsPlusNormal"/>
            </w:pPr>
          </w:p>
        </w:tc>
      </w:tr>
    </w:tbl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jc w:val="center"/>
        <w:outlineLvl w:val="1"/>
      </w:pPr>
      <w:r>
        <w:t>I. ОБЩИЕ ПОЛОЖЕНИЯ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bookmarkStart w:id="1" w:name="P42"/>
      <w:bookmarkEnd w:id="1"/>
      <w:r>
        <w:t xml:space="preserve"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при реализации образовательных программ среднего профессионального образования - программ подготовки специалистов среднего звена по специальности </w:t>
      </w:r>
      <w:hyperlink r:id="rId14">
        <w:r>
          <w:rPr>
            <w:color w:val="0000FF"/>
          </w:rPr>
          <w:t>43.02.16</w:t>
        </w:r>
      </w:hyperlink>
      <w:r>
        <w:t xml:space="preserve"> Туризм и гостеприимство (далее соответственно - ФГОС СПО, образовательная программа, специальность) в соответствии с квалификацией специалиста среднего звена "специалист по туризму и гостеприимству" &lt;1&gt;.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5">
        <w:r>
          <w:rPr>
            <w:color w:val="0000FF"/>
          </w:rPr>
          <w:t>Перечень</w:t>
        </w:r>
      </w:hyperlink>
      <w:r>
        <w:t xml:space="preserve"> специальностей среднего профессионального образования, утвержденный приказом Министерства просвещения Российской Федерации от 17 мая 2022 г. N 336 (зарегистрирован Министерством юстиции Российской Федерации 17 июня 2022 г., регистрационный N 68887).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1.2. Получение образования по специальности допускается только в профессиональной образовательной организации или образовательной организации высшего образования (далее вместе - образовательная организация).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1.3. Образовательная программа, реализуемая на базе основного общего образования, разрабатывается образовательной организацией на основе требований федерального государственного образовательного </w:t>
      </w:r>
      <w:hyperlink r:id="rId16">
        <w:r>
          <w:rPr>
            <w:color w:val="0000FF"/>
          </w:rPr>
          <w:t>стандарта</w:t>
        </w:r>
      </w:hyperlink>
      <w:r>
        <w:t xml:space="preserve"> среднего общего образования &lt;2&gt;, ФГОС СПО и положений федеральной основной общеобразовательной программы среднего общего образования с учетом получаемой специальности.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&lt;2&gt; Федеральный государственный образовательный </w:t>
      </w:r>
      <w:hyperlink r:id="rId18">
        <w:r>
          <w:rPr>
            <w:color w:val="0000FF"/>
          </w:rPr>
          <w:t>стандарт</w:t>
        </w:r>
      </w:hyperlink>
      <w:r>
        <w:t xml:space="preserve"> среднего общего образования, утвержденный приказом Министерства образования и науки Российской Федерации от 17 мая 2012 г. N 413 (зарегистрирован Министерством юстиции Российской Федерации 7 июня 2012 г., регистрационный N 24480), с изменениями, внесенными приказами Министерства образования и науки Российской Федерации от 29 декабря 2014 г. N 1645 (зарегистрирован Министерством юстиции Российской Федерации 9 февраля 2015 г., регистрационный N 35953), от 31 декабря 2015 г. N 1578 (зарегистрирован Министерством юстиции Российской Федерации 9 февраля 2016 г., регистрационный N 41020), от 29 июня 2017 г. N 613 (зарегистрирован Министерством юстиции Российской Федерации 26 июля 2017 г., регистрационный N 47532), </w:t>
      </w:r>
      <w:r>
        <w:lastRenderedPageBreak/>
        <w:t>приказами Министерства просвещения Российской Федерации от 24 сентября 2020 г. N 519 (зарегистрирован Министерством юстиции Российской Федерации 23 декабря 2020 г., регистрационный N 61749), от 11 декабря 2020 г. N 712 (зарегистрирован Министерством юстиции Российской Федерации 25 декабря 2020 г., регистрационный N 61828), от 12 августа 2022 г. N 732 (зарегистрирован Министерством юстиции Российской Федерации 12 сентября 2022 г., регистрационный N 70034) и от 27 декабря 2023 г. N 1028 (зарегистрирован Министерством юстиции Российской Федерации 2 февраля 2024 г., регистрационный N 77121).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1.4. Обучение по образовательной программе в образовательной организации осуществляется в очной, очно-заочной и заочной формах обучения.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1.5.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1.6. Реализация образовательной программы осуществляется образовательной организацией как самостоятельно, так и посредством сетевой формы.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1.7.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соответствующую примерную образовательную программу, включенную в реестр примерных образовательных программ (далее - ПОП), примерной рабочей программы воспитания и примерного календарного плана воспитательной работы &lt;3&gt;.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&lt;3&gt; </w:t>
      </w:r>
      <w:hyperlink r:id="rId21">
        <w:r>
          <w:rPr>
            <w:color w:val="0000FF"/>
          </w:rPr>
          <w:t>Часть 2 статьи 12.1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2022, N 39, ст. 6541).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1.8. Образовательная программа реализуется на государственном языке Российской Федерации, если иное не определено локальным нормативным актом образовательной организации &lt;4&gt;.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&lt;4&gt; </w:t>
      </w:r>
      <w:hyperlink r:id="rId22">
        <w:r>
          <w:rPr>
            <w:color w:val="0000FF"/>
          </w:rPr>
          <w:t>Статья 14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bookmarkStart w:id="2" w:name="P67"/>
      <w:bookmarkEnd w:id="2"/>
      <w:r>
        <w:t>1.9. Срок получения образования по образовательной программе в очной форме обучения вне зависимости от применяемых образовательных технологий составляет: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на базе среднего общего образования - 1 год 10 месяцев;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на базе основного общего образования - 2 года 10 месяцев.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lastRenderedPageBreak/>
        <w:t>Срок получения образования по образовательной программе в очно-заочной и заочной формах обучения, вне зависимости от применяемых образовательных технологий, увеличивается по сравнению со сроком получения образования в очной форме обучения не более чем на 1 год.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1.10. При обучении по индивидуальному учебному плану срок получения образования по образовательной программе, вне зависимости от формы обучения, составляет не более срока получения образования, установленного для соответствующей формы обучения.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один год по сравнению со сроком получения образования для соответствующей формы обучения.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1.11. Конкретный срок получения образования в очно-заочной и заочной формах обучения, а также по индивидуальному учебному плану, в том числе при ускоренном обучении, определяется образовательной организацией самостоятельно в пределах сроков, установленных </w:t>
      </w:r>
      <w:hyperlink w:anchor="P67">
        <w:r>
          <w:rPr>
            <w:color w:val="0000FF"/>
          </w:rPr>
          <w:t>пунктом 1.9</w:t>
        </w:r>
      </w:hyperlink>
      <w:r>
        <w:t xml:space="preserve"> ФГОС СПО.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1.12. Для определения объема образовательной программы образовательной организацией может быть применена система зачетных единиц, при этом одна зачетная единица соответствует 32 - 36 академическим часам.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1.13. Срок получения образования по образовательной программе, реализуемой в условиях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а также объем такой образовательной программы могут быть уменьшены с учетом соответствующей ПОП, но не более чем на 40 процентов от срока получения образования и объема образовательной программы, установленных настоящим ФГОС СПО &lt;5&gt;.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&lt;5&gt; </w:t>
      </w:r>
      <w:hyperlink r:id="rId24">
        <w:r>
          <w:rPr>
            <w:color w:val="0000FF"/>
          </w:rPr>
          <w:t>Пункт 11</w:t>
        </w:r>
      </w:hyperlink>
      <w:r>
        <w:t xml:space="preserve"> Положения о проведении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утвержденного постановлением Правительства Российской Федерации от 16 марта 2022 г. N 387 (Собрание законодательства Российской Федерации, 2022, N 12, ст. 1871).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bookmarkStart w:id="3" w:name="P80"/>
      <w:bookmarkEnd w:id="3"/>
      <w:r>
        <w:t xml:space="preserve">1.14. Область профессиональной деятельности, в которой выпускники, освоившие образовательную программу, могут осуществлять профессиональную деятельность: </w:t>
      </w:r>
      <w:hyperlink r:id="rId25">
        <w:r>
          <w:rPr>
            <w:color w:val="0000FF"/>
          </w:rPr>
          <w:t>33</w:t>
        </w:r>
      </w:hyperlink>
      <w:r>
        <w:t xml:space="preserve">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прочее) &lt;6&gt;.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&lt;6&gt; </w:t>
      </w:r>
      <w:hyperlink r:id="rId26">
        <w:r>
          <w:rPr>
            <w:color w:val="0000FF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34779),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 xml:space="preserve">Выпускники могут осуществлять профессиональную деятельность в других областях </w:t>
      </w:r>
      <w:r>
        <w:lastRenderedPageBreak/>
        <w:t>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1.15. При разработке образовательной программы образовательная организация устанавливает направленность, которая конкретизирует содержание программы путем ориентации на виды деятельности, с учетом соответствующей ПОП.</w:t>
      </w:r>
    </w:p>
    <w:p w:rsidR="00F93EDA" w:rsidRDefault="00F93EDA">
      <w:pPr>
        <w:pStyle w:val="ConsPlusNormal"/>
        <w:jc w:val="both"/>
      </w:pPr>
      <w:r>
        <w:t xml:space="preserve">(п. 1.15 в ред. </w:t>
      </w:r>
      <w:hyperlink r:id="rId27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jc w:val="center"/>
        <w:outlineLvl w:val="1"/>
      </w:pPr>
      <w:r>
        <w:t>II. ТРЕБОВАНИЯ К СТРУКТУРЕ ОБРАЗОВАТЕЛЬНОЙ ПРОГРАММЫ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 xml:space="preserve">2.1. Структура и объем образовательной программы </w:t>
      </w:r>
      <w:hyperlink w:anchor="P97">
        <w:r>
          <w:rPr>
            <w:color w:val="0000FF"/>
          </w:rPr>
          <w:t>(таблица N 1)</w:t>
        </w:r>
      </w:hyperlink>
      <w:r>
        <w:t xml:space="preserve"> включает: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дисциплины (модули);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практику;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государственную итоговую аттестацию.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right"/>
      </w:pPr>
      <w:r>
        <w:t>Таблица N 1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center"/>
      </w:pPr>
      <w:bookmarkStart w:id="4" w:name="P97"/>
      <w:bookmarkEnd w:id="4"/>
      <w:r>
        <w:t>Структура и объем образовательной программы</w:t>
      </w:r>
    </w:p>
    <w:p w:rsidR="00F93EDA" w:rsidRDefault="00F93ED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56"/>
        <w:gridCol w:w="3798"/>
      </w:tblGrid>
      <w:tr w:rsidR="00F93EDA">
        <w:tc>
          <w:tcPr>
            <w:tcW w:w="5256" w:type="dxa"/>
          </w:tcPr>
          <w:p w:rsidR="00F93EDA" w:rsidRDefault="00F93EDA">
            <w:pPr>
              <w:pStyle w:val="ConsPlusNormal"/>
              <w:jc w:val="center"/>
            </w:pPr>
            <w:r>
              <w:t>Структура образовательной программы</w:t>
            </w:r>
          </w:p>
        </w:tc>
        <w:tc>
          <w:tcPr>
            <w:tcW w:w="3798" w:type="dxa"/>
          </w:tcPr>
          <w:p w:rsidR="00F93EDA" w:rsidRDefault="00F93EDA">
            <w:pPr>
              <w:pStyle w:val="ConsPlusNormal"/>
              <w:jc w:val="center"/>
            </w:pPr>
            <w:r>
              <w:t>Объем образовательной программы, в академических часах</w:t>
            </w:r>
          </w:p>
        </w:tc>
      </w:tr>
      <w:tr w:rsidR="00F93EDA">
        <w:tc>
          <w:tcPr>
            <w:tcW w:w="5256" w:type="dxa"/>
          </w:tcPr>
          <w:p w:rsidR="00F93EDA" w:rsidRDefault="00F93EDA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3798" w:type="dxa"/>
          </w:tcPr>
          <w:p w:rsidR="00F93EDA" w:rsidRDefault="00F93EDA">
            <w:pPr>
              <w:pStyle w:val="ConsPlusNormal"/>
              <w:jc w:val="center"/>
            </w:pPr>
            <w:r>
              <w:t>Не менее 1476</w:t>
            </w:r>
          </w:p>
        </w:tc>
      </w:tr>
      <w:tr w:rsidR="00F93EDA">
        <w:tc>
          <w:tcPr>
            <w:tcW w:w="5256" w:type="dxa"/>
          </w:tcPr>
          <w:p w:rsidR="00F93EDA" w:rsidRDefault="00F93EDA">
            <w:pPr>
              <w:pStyle w:val="ConsPlusNormal"/>
            </w:pPr>
            <w:r>
              <w:t>Практика</w:t>
            </w:r>
          </w:p>
        </w:tc>
        <w:tc>
          <w:tcPr>
            <w:tcW w:w="3798" w:type="dxa"/>
          </w:tcPr>
          <w:p w:rsidR="00F93EDA" w:rsidRDefault="00F93EDA">
            <w:pPr>
              <w:pStyle w:val="ConsPlusNormal"/>
              <w:jc w:val="center"/>
            </w:pPr>
            <w:r>
              <w:t>Не менее 432</w:t>
            </w:r>
          </w:p>
        </w:tc>
      </w:tr>
      <w:tr w:rsidR="00F93EDA">
        <w:tc>
          <w:tcPr>
            <w:tcW w:w="5256" w:type="dxa"/>
          </w:tcPr>
          <w:p w:rsidR="00F93EDA" w:rsidRDefault="00F93EDA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3798" w:type="dxa"/>
          </w:tcPr>
          <w:p w:rsidR="00F93EDA" w:rsidRDefault="00F93EDA">
            <w:pPr>
              <w:pStyle w:val="ConsPlusNormal"/>
              <w:jc w:val="center"/>
            </w:pPr>
            <w:r>
              <w:t>216</w:t>
            </w:r>
          </w:p>
        </w:tc>
      </w:tr>
      <w:tr w:rsidR="00F93EDA">
        <w:tc>
          <w:tcPr>
            <w:tcW w:w="9054" w:type="dxa"/>
            <w:gridSpan w:val="2"/>
          </w:tcPr>
          <w:p w:rsidR="00F93EDA" w:rsidRDefault="00F93EDA">
            <w:pPr>
              <w:pStyle w:val="ConsPlusNormal"/>
              <w:jc w:val="center"/>
            </w:pPr>
            <w:r>
              <w:t>Общий объем образовательной программы:</w:t>
            </w:r>
          </w:p>
        </w:tc>
      </w:tr>
      <w:tr w:rsidR="00F93EDA">
        <w:tc>
          <w:tcPr>
            <w:tcW w:w="5256" w:type="dxa"/>
          </w:tcPr>
          <w:p w:rsidR="00F93EDA" w:rsidRDefault="00F93EDA">
            <w:pPr>
              <w:pStyle w:val="ConsPlusNormal"/>
            </w:pPr>
            <w:r>
              <w:t>на базе среднего общего образования</w:t>
            </w:r>
          </w:p>
        </w:tc>
        <w:tc>
          <w:tcPr>
            <w:tcW w:w="3798" w:type="dxa"/>
          </w:tcPr>
          <w:p w:rsidR="00F93EDA" w:rsidRDefault="00F93EDA">
            <w:pPr>
              <w:pStyle w:val="ConsPlusNormal"/>
              <w:jc w:val="center"/>
            </w:pPr>
            <w:r>
              <w:t>2952</w:t>
            </w:r>
          </w:p>
        </w:tc>
      </w:tr>
      <w:tr w:rsidR="00F93EDA">
        <w:tc>
          <w:tcPr>
            <w:tcW w:w="5256" w:type="dxa"/>
          </w:tcPr>
          <w:p w:rsidR="00F93EDA" w:rsidRDefault="00F93EDA">
            <w:pPr>
              <w:pStyle w:val="ConsPlusNormal"/>
            </w:pPr>
            <w:r>
              <w:t>на базе основного общего образования, включая получение среднего общего образования на основе требований федерального государственного образовательного стандарта среднего общего образования</w:t>
            </w:r>
          </w:p>
        </w:tc>
        <w:tc>
          <w:tcPr>
            <w:tcW w:w="3798" w:type="dxa"/>
          </w:tcPr>
          <w:p w:rsidR="00F93EDA" w:rsidRDefault="00F93EDA">
            <w:pPr>
              <w:pStyle w:val="ConsPlusNormal"/>
              <w:jc w:val="center"/>
            </w:pPr>
            <w:r>
              <w:t>4428</w:t>
            </w:r>
          </w:p>
        </w:tc>
      </w:tr>
    </w:tbl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2.2. Образовательная программа включает циклы: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социально-гуманитарный цикл;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общепрофессиональный цикл;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профессиональный цикл.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2.3. В рамках образовательной программы выделяются обязательная часть и часть, формируемая участниками образовательных отношений (вариативная часть).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Обязательная часть образовательной программы направлена на формирование общих и профессиональных компетенций, предусмотренных </w:t>
      </w:r>
      <w:hyperlink w:anchor="P147">
        <w:r>
          <w:rPr>
            <w:color w:val="0000FF"/>
          </w:rPr>
          <w:t>главой III</w:t>
        </w:r>
      </w:hyperlink>
      <w:r>
        <w:t xml:space="preserve"> ФГОС СПО.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lastRenderedPageBreak/>
        <w:t>Объем обязательной части без учета объема государственной итоговой аттестации должен составлять не более 70 процентов от общего объема времени, отведенного на освоение образовательной программы.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Вариативная часть образовательной программы объемом не менее 30 процентов от общего объема времени, отведенного на освоение образовательной программы, дает возможность дальнейшего развития общих и профессиональных компетенций, в том числе за счет расширения видов деятельности, введения дополнительных видов деятельности, а также профессиональных компетенций, необходимых для обеспечения конкурентоспособности выпускника в соответствии с потребностями регионального рынка труда, а также с учетом требований цифровой экономики.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Конкретное соотношение обязательной и вариативной частей образовательной программы, объемные параметры циклов и практики образовательная организация определяет самостоятельно в соответствии с требованиями настоящего пункта, а также с учетом ПОП.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bookmarkStart w:id="5" w:name="P123"/>
      <w:bookmarkEnd w:id="5"/>
      <w:r>
        <w:t>2.4. Образовательная программа разрабатывается образовательной организацией в соответствии с ФГОС СПО с учетом ПОП и предполагает освоение следующих видов деятельности: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организация и контроль текущей деятельности служб предприятий туризма и гостеприимства;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предоставление туроператорских и турагентских услуг (по выбору);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предоставление экскурсионных услуг (по выбору);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предоставление гостиничных услуг (по выбору);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предоставление услуг предприятия питания (по выбору).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2.5. Образовательная организация при необходимости самостоятельно формирует виды деятельности в дополнение к видам деятельности, указанным в </w:t>
      </w:r>
      <w:hyperlink w:anchor="P123">
        <w:r>
          <w:rPr>
            <w:color w:val="0000FF"/>
          </w:rPr>
          <w:t>пункте 2.4</w:t>
        </w:r>
      </w:hyperlink>
      <w:r>
        <w:t xml:space="preserve"> ФГОС СПО, в рамках вариативной части.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2.6. При освоении социально-гуманитарного, общепрофессионального и профессионального циклов (далее - учебные циклы) выделяется объем учебных занятий, практики (в профессиональном цикле) и самостоятельной работы.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На проведение учебных занятий и практики должно быть выделено не менее 70 процентов от объема учебных циклов образовательной программы в очной форме обучения, не менее 25 процентов - в Очно-заочной форме обучения и не менее 10 процентов - в заочной форме обучения.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В учебные циклы включается промежуточная аттестация обучающихся, которая осуществляется в рамках освоения указанных циклов в соответствии с формой, определяемой образовательной организацией, и оценочными материалами, позволяющими оценить достижение запланированных по отдельным дисциплинам (модулям) и практикам результатов обучения.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2.7. Обязательная часть социально-гуманитарного цикла образовательной программы должна предусматривать изучение следующих дисциплин: "История России", "Иностранный язык в профессиональной деятельности", "Безопасность жизнедеятельности", "Физическая культура", "Основы финансовой грамотности", "Основы бережливого производства".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Общий объем дисциплины "Безопасность жизнедеятельности" в очной форме обучения не </w:t>
      </w:r>
      <w:r>
        <w:lastRenderedPageBreak/>
        <w:t>может быть менее 68 академических часов, из них на освоение основ военной службы (для юношей) - не менее 48 академических часов; для подгрупп девушек это время может быть использовано на освоение основ медицинских знаний.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Дисциплина "Физическая культура" должна способствовать формированию физической культуры выпускника и способности направленного использования средств физической культуры и спорта для сохранения и укрепления здоровья, психофизической подготовке к профессиональной деятельности, предупреждению профессиональных заболеваний.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"Физическая культура" с учетом состояния их здоровья.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2.8. Обязательная часть общепрофессионального цикла образовательной программы должна предусматривать изучение следующих дисциплин: "Сервисная деятельность в туризме и гостеприимстве", "Предпринимательская деятельность в сфере туризма и гостиничного бизнеса", "Правовое и документационное обеспечение в туризме и гостеприимстве", "Менеджмент в туризме и гостеприимстве", "Информационно-коммуникационные технологии в туризме и гостеприимстве", "Экономика и бухгалтерский учет предприятий туризма и гостиничного дела", "Иностранный язык" (второй), "Психология делового общения и конфликтология".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2.9. Профессиональный цикл образовательной программы включает профессиональные модули, которые формируются в соответствии с выбранными видами деятельности, предусмотренными </w:t>
      </w:r>
      <w:hyperlink w:anchor="P123">
        <w:r>
          <w:rPr>
            <w:color w:val="0000FF"/>
          </w:rPr>
          <w:t>пунктом 2.4</w:t>
        </w:r>
      </w:hyperlink>
      <w:r>
        <w:t xml:space="preserve"> ФГОС СПО, а также дополнительными видами деятельности, сформированными образовательными организациями самостоятельно. В состав профессионального модуля входит один или несколько междисциплинарных курсов, которые устанавливаются образовательной организацией самостоятельно с учетом ПОП. Объем профессионального модуля составляет не менее 4 зачетных единиц.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2.10. Практика входит в профессиональный цикл и имеет следующие виды - учебная практика и производственная практика, которые реализуются в форме практической подготовки. Учебная и производственная практики реализуются как в несколько периодов, так и рассредоточенно, чередуясь с учебными занятиями. Типы практики устанавливаются образовательной организацией самостоятельно с учетом ПОП.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2.11. Образовательная организация должна предоставлять инвалидам и лицам с ограниченными возможностями здоровья (по их заявлению) возможность обучения по образовательной программе, учитывающей особенности их психофизического развития, индивидуальных возможностей и при необходимости обеспечивающей коррекцию нарушений развития и социальную адаптацию указанных лиц.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2.12. Государственная итоговая аттестация проводится в форме демонстрационного экзамена и защиты дипломного проекта (работы).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2.13. Государственная итоговая аттестация завершается присвоением квалификации специалиста среднего звена, указанной в </w:t>
      </w:r>
      <w:hyperlink w:anchor="P42">
        <w:r>
          <w:rPr>
            <w:color w:val="0000FF"/>
          </w:rPr>
          <w:t>пункте 1.1</w:t>
        </w:r>
      </w:hyperlink>
      <w:r>
        <w:t xml:space="preserve"> ФГОС СПО.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jc w:val="center"/>
        <w:outlineLvl w:val="1"/>
      </w:pPr>
      <w:bookmarkStart w:id="6" w:name="P147"/>
      <w:bookmarkEnd w:id="6"/>
      <w:r>
        <w:t>III. ТРЕБОВАНИЯ К РЕЗУЛЬТАТАМ ОСВОЕНИЯ</w:t>
      </w:r>
    </w:p>
    <w:p w:rsidR="00F93EDA" w:rsidRDefault="00F93EDA">
      <w:pPr>
        <w:pStyle w:val="ConsPlusTitle"/>
        <w:jc w:val="center"/>
      </w:pPr>
      <w:r>
        <w:t>ОБРАЗОВАТЕЛЬНОЙ ПРОГРАММЫ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3.1. В результате освоения образовательной программы у выпускника должны быть сформированы общие и профессиональные компетенции.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lastRenderedPageBreak/>
        <w:t>3.2. Выпускник, освоивший образовательную программу, должен обладать следующими общими компетенциями (далее - ОК):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01. Выбирать способы решения задач профессиональной деятельности применительно к различным контекстам;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04. Эффективно взаимодействовать и работать в коллективе и команде;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ОК 09. Пользоваться профессиональной документацией на государственном и иностранном языках.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3.3. Выпускник, освоивший образовательную программу, должен обладать профессиональными компетенциями (далее - ПК), соответствующими выбранным видам деятельности (таблица N 2), предусмотренным </w:t>
      </w:r>
      <w:hyperlink w:anchor="P123">
        <w:r>
          <w:rPr>
            <w:color w:val="0000FF"/>
          </w:rPr>
          <w:t>пунктом 2.4</w:t>
        </w:r>
      </w:hyperlink>
      <w:r>
        <w:t xml:space="preserve"> ФГОС СПО, сформированными в том числе на основе профессиональных стандартов (при наличии), указанных в ПОП: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right"/>
      </w:pPr>
      <w:r>
        <w:t>Таблица N 2</w:t>
      </w:r>
    </w:p>
    <w:p w:rsidR="00F93EDA" w:rsidRDefault="00F93ED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6576"/>
      </w:tblGrid>
      <w:tr w:rsidR="00F93EDA">
        <w:tc>
          <w:tcPr>
            <w:tcW w:w="2494" w:type="dxa"/>
          </w:tcPr>
          <w:p w:rsidR="00F93EDA" w:rsidRDefault="00F93EDA">
            <w:pPr>
              <w:pStyle w:val="ConsPlusNormal"/>
              <w:jc w:val="center"/>
            </w:pPr>
            <w:r>
              <w:t>Виды деятельности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center"/>
            </w:pPr>
            <w:r>
              <w:t>Профессиональные компетенции, соответствующие видам деятельности</w:t>
            </w:r>
          </w:p>
        </w:tc>
      </w:tr>
      <w:tr w:rsidR="00F93EDA">
        <w:tc>
          <w:tcPr>
            <w:tcW w:w="2494" w:type="dxa"/>
          </w:tcPr>
          <w:p w:rsidR="00F93EDA" w:rsidRDefault="00F93ED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center"/>
            </w:pPr>
            <w:r>
              <w:t>2</w:t>
            </w:r>
          </w:p>
        </w:tc>
      </w:tr>
      <w:tr w:rsidR="00F93EDA">
        <w:tc>
          <w:tcPr>
            <w:tcW w:w="2494" w:type="dxa"/>
          </w:tcPr>
          <w:p w:rsidR="00F93EDA" w:rsidRDefault="00F93EDA">
            <w:pPr>
              <w:pStyle w:val="ConsPlusNormal"/>
            </w:pPr>
            <w:r>
              <w:t>организация и контроль текущей деятельности служб предприятий туризма и гостеприимства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both"/>
            </w:pPr>
            <w:r>
              <w:t>ПК 1.1. Планировать текущую деятельность сотрудников служб предприятий туризма и гостеприимства.</w:t>
            </w:r>
          </w:p>
          <w:p w:rsidR="00F93EDA" w:rsidRDefault="00F93EDA">
            <w:pPr>
              <w:pStyle w:val="ConsPlusNormal"/>
              <w:jc w:val="both"/>
            </w:pPr>
            <w:r>
              <w:t>ПК 1.2. Организовывать текущую деятельность сотрудников служб предприятий туризма и гостеприимства.</w:t>
            </w:r>
          </w:p>
          <w:p w:rsidR="00F93EDA" w:rsidRDefault="00F93EDA">
            <w:pPr>
              <w:pStyle w:val="ConsPlusNormal"/>
              <w:jc w:val="both"/>
            </w:pPr>
            <w:r>
              <w:t>ПК 1.3. Координировать и контролировать деятельность сотрудников служб предприятий туризма и гостеприимства.</w:t>
            </w:r>
          </w:p>
          <w:p w:rsidR="00F93EDA" w:rsidRDefault="00F93EDA">
            <w:pPr>
              <w:pStyle w:val="ConsPlusNormal"/>
              <w:jc w:val="both"/>
            </w:pPr>
            <w:r>
              <w:t>ПК 1.4. Осуществлять расчеты с потребителями за предоставленные услуги.</w:t>
            </w:r>
          </w:p>
        </w:tc>
      </w:tr>
      <w:tr w:rsidR="00F93EDA">
        <w:tc>
          <w:tcPr>
            <w:tcW w:w="2494" w:type="dxa"/>
          </w:tcPr>
          <w:p w:rsidR="00F93EDA" w:rsidRDefault="00F93EDA">
            <w:pPr>
              <w:pStyle w:val="ConsPlusNormal"/>
            </w:pPr>
            <w:r>
              <w:lastRenderedPageBreak/>
              <w:t>предоставление туроператорских и турагентских услуг (по выбору)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both"/>
            </w:pPr>
            <w:r>
              <w:t>ПК 2.1. Оформлять и обрабатывать заказы клиентов.</w:t>
            </w:r>
          </w:p>
          <w:p w:rsidR="00F93EDA" w:rsidRDefault="00F93EDA">
            <w:pPr>
              <w:pStyle w:val="ConsPlusNormal"/>
              <w:jc w:val="both"/>
            </w:pPr>
            <w:r>
              <w:t>ПК 2.2. Координировать работу по реализации заказа.</w:t>
            </w:r>
          </w:p>
        </w:tc>
      </w:tr>
      <w:tr w:rsidR="00F93EDA">
        <w:tc>
          <w:tcPr>
            <w:tcW w:w="2494" w:type="dxa"/>
          </w:tcPr>
          <w:p w:rsidR="00F93EDA" w:rsidRDefault="00F93EDA">
            <w:pPr>
              <w:pStyle w:val="ConsPlusNormal"/>
            </w:pPr>
            <w:r>
              <w:t>предоставление экскурсионных услуг (по выбору)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both"/>
            </w:pPr>
            <w:r>
              <w:t>ПК 2.1. Формировать группы туристов, выполнять регистрацию группы в аварийно-спасательных службах.</w:t>
            </w:r>
          </w:p>
          <w:p w:rsidR="00F93EDA" w:rsidRDefault="00F93EDA">
            <w:pPr>
              <w:pStyle w:val="ConsPlusNormal"/>
              <w:jc w:val="both"/>
            </w:pPr>
            <w:r>
              <w:t>ПК 2.2. Сопровождать туристов при прохождении маршрута (по видам туризма).</w:t>
            </w:r>
          </w:p>
        </w:tc>
      </w:tr>
      <w:tr w:rsidR="00F93EDA">
        <w:tc>
          <w:tcPr>
            <w:tcW w:w="2494" w:type="dxa"/>
          </w:tcPr>
          <w:p w:rsidR="00F93EDA" w:rsidRDefault="00F93EDA">
            <w:pPr>
              <w:pStyle w:val="ConsPlusNormal"/>
            </w:pPr>
            <w:r>
              <w:t>предоставление гостиничных услуг (по выбору)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both"/>
            </w:pPr>
            <w:r>
              <w:t>ПК 2.1. Организовывать и осуществлять прием и размещение гостей.</w:t>
            </w:r>
          </w:p>
          <w:p w:rsidR="00F93EDA" w:rsidRDefault="00F93EDA">
            <w:pPr>
              <w:pStyle w:val="ConsPlusNormal"/>
              <w:jc w:val="both"/>
            </w:pPr>
            <w:r>
              <w:t>ПК 2.2. Организовывать и осуществлять эксплуатацию номерного фонда гостиничного предприятия.</w:t>
            </w:r>
          </w:p>
          <w:p w:rsidR="00F93EDA" w:rsidRDefault="00F93EDA">
            <w:pPr>
              <w:pStyle w:val="ConsPlusNormal"/>
              <w:jc w:val="both"/>
            </w:pPr>
            <w:r>
              <w:t>ПК 2.3. Организовывать и осуществлять бронирование и продажу гостиничных услуг.</w:t>
            </w:r>
          </w:p>
          <w:p w:rsidR="00F93EDA" w:rsidRDefault="00F93EDA">
            <w:pPr>
              <w:pStyle w:val="ConsPlusNormal"/>
              <w:jc w:val="both"/>
            </w:pPr>
            <w:r>
              <w:t>ПК 2.4. Выполнять санитарно-эпидемиологические требования к предоставлению гостиничных услуг.</w:t>
            </w:r>
          </w:p>
        </w:tc>
      </w:tr>
      <w:tr w:rsidR="00F93EDA">
        <w:tc>
          <w:tcPr>
            <w:tcW w:w="2494" w:type="dxa"/>
          </w:tcPr>
          <w:p w:rsidR="00F93EDA" w:rsidRDefault="00F93EDA">
            <w:pPr>
              <w:pStyle w:val="ConsPlusNormal"/>
            </w:pPr>
            <w:r>
              <w:t>предоставление услуг предприятия питания (по выбору)</w:t>
            </w:r>
          </w:p>
        </w:tc>
        <w:tc>
          <w:tcPr>
            <w:tcW w:w="6576" w:type="dxa"/>
          </w:tcPr>
          <w:p w:rsidR="00F93EDA" w:rsidRDefault="00F93EDA">
            <w:pPr>
              <w:pStyle w:val="ConsPlusNormal"/>
              <w:jc w:val="both"/>
            </w:pPr>
            <w:r>
              <w:t>ПК 2.1. Выявлять потребности и формировать спрос на продукцию и услуги общественного питания.</w:t>
            </w:r>
          </w:p>
          <w:p w:rsidR="00F93EDA" w:rsidRDefault="00F93EDA">
            <w:pPr>
              <w:pStyle w:val="ConsPlusNormal"/>
              <w:jc w:val="both"/>
            </w:pPr>
            <w:r>
              <w:t>ПК 2.2. Организовывать выпуск продукции в предприятиях общественного питания.</w:t>
            </w:r>
          </w:p>
          <w:p w:rsidR="00F93EDA" w:rsidRDefault="00F93EDA">
            <w:pPr>
              <w:pStyle w:val="ConsPlusNormal"/>
              <w:jc w:val="both"/>
            </w:pPr>
            <w:r>
              <w:t>ПК 2.3. Организовывать деятельность и осуществлять обслуживание в организациях питания в соответствии с санитарными нормами и правилами.</w:t>
            </w:r>
          </w:p>
          <w:p w:rsidR="00F93EDA" w:rsidRDefault="00F93EDA">
            <w:pPr>
              <w:pStyle w:val="ConsPlusNormal"/>
              <w:jc w:val="both"/>
            </w:pPr>
            <w:r>
              <w:t>ПК 2.4. Контролировать качество продукции и услуг общественного питания.</w:t>
            </w:r>
          </w:p>
        </w:tc>
      </w:tr>
    </w:tbl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 xml:space="preserve">3.4. Образовательная организация при необходимости самостоятельно включает в образовательную программу дополнительные профессиональные компетенции по видам деятельности, установленным в соответствии с </w:t>
      </w:r>
      <w:hyperlink w:anchor="P123">
        <w:r>
          <w:rPr>
            <w:color w:val="0000FF"/>
          </w:rPr>
          <w:t>пунктом 2.4</w:t>
        </w:r>
      </w:hyperlink>
      <w:r>
        <w:t xml:space="preserve"> ФГОС СПО, а также по видам деятельности, сформированным в вариативной части образовательной программы для учета потребностей регионального рынка труда.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Образовательная организация при необходимости вводит в вариативную часть учебных циклов образовательной программы модуль по освоению компетенций цифровой экономики, соответствующих одному или нескольким видам деятельности, осваиваемым в рамках образовательной программы.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3.5. Образовательная организация с учетом ПОП самостоятельно планирует результаты обучения по отдельным дисциплинам (модулям) и практикам, которые должны быть соотнесены с требуемыми результатами освоения образовательной программы.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Совокупность запланированных результатов обучения по дисциплинам (модулям) и практикам должна обеспечивать выпускнику освоение всех компетенций, установленных образовательной программой.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3.6. Обучающиеся, осваивающие образовательную программу, осваивают профессию рабочего, должность служащего (одну или несколько) в соответствии с перечнем профессий рабочих, должностей служащих, по которым осуществляется профессиональное обучение &lt;7&gt;.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lastRenderedPageBreak/>
        <w:t xml:space="preserve">&lt;7&gt; </w:t>
      </w:r>
      <w:hyperlink r:id="rId34">
        <w:r>
          <w:rPr>
            <w:color w:val="0000FF"/>
          </w:rPr>
          <w:t>Часть 7 статьи 73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2020, N 22, ст. 3379).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jc w:val="center"/>
        <w:outlineLvl w:val="1"/>
      </w:pPr>
      <w:r>
        <w:t>IV. ТРЕБОВАНИЯ К УСЛОВИЯМ РЕАЛИЗАЦИИ</w:t>
      </w:r>
    </w:p>
    <w:p w:rsidR="00F93EDA" w:rsidRDefault="00F93EDA">
      <w:pPr>
        <w:pStyle w:val="ConsPlusTitle"/>
        <w:jc w:val="center"/>
      </w:pPr>
      <w:r>
        <w:t>ОБРАЗОВАТЕЛЬНОЙ ПРОГРАММЫ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4.1. Образовательная организация осуществляет образовательную деятельность по реализации образовательной программы среднего профессионального образования в соответствии с действующими санитарными нормами и правилами &lt;8&gt;.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&lt;8&gt; Федеральный </w:t>
      </w:r>
      <w:hyperlink r:id="rId35">
        <w:r>
          <w:rPr>
            <w:color w:val="0000FF"/>
          </w:rPr>
          <w:t>закон</w:t>
        </w:r>
      </w:hyperlink>
      <w:r>
        <w:t xml:space="preserve"> от 30 марта 1999 г. N 52-ФЗ "О санитарно-эпидемиологическом благополучии населения" (Собрание законодательства Российской Федерации, 1999, N 14, ст. 1650; 2022, N 45, ст. 7674); санитарные правила </w:t>
      </w:r>
      <w:hyperlink r:id="rId36">
        <w:r>
          <w:rPr>
            <w:color w:val="0000FF"/>
          </w:rPr>
          <w:t>СП 2.4.3648-20</w:t>
        </w:r>
      </w:hyperlink>
      <w:r>
        <w:t xml:space="preserve">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 сентября 2020 г. N 28 (зарегистрировано Министерством юстиции Российской Федерации 18 декабря 2020 г., регистрационный N 61573), действующим до 1 января 2027 г.; санитарно-эпидемиологические правила и нормы </w:t>
      </w:r>
      <w:hyperlink r:id="rId37">
        <w:r>
          <w:rPr>
            <w:color w:val="0000FF"/>
          </w:rPr>
          <w:t>СанПиН 2.3/2.4.3590-20</w:t>
        </w:r>
      </w:hyperlink>
      <w:r>
        <w:t xml:space="preserve">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 октября 2020 г. N 32 (зарегистрировано Министерством юстиции Российской Федерации 11 ноября 2020 г., регистрационный N 60833), действующим до 1 января 2027 г.; санитарные правила и нормы </w:t>
      </w:r>
      <w:hyperlink r:id="rId38">
        <w:r>
          <w:rPr>
            <w:color w:val="0000FF"/>
          </w:rPr>
          <w:t>СанПиН 1.2.3685-21</w:t>
        </w:r>
      </w:hyperlink>
      <w:r>
        <w:t xml:space="preserve">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 (зарегистрировано Министерством юстиции Российской Федерации 29 января 2021 г., регистрационный N 62296), действующим до 1 марта 2027 года.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ind w:firstLine="540"/>
        <w:jc w:val="both"/>
      </w:pPr>
      <w:r>
        <w:t>4.2. Требования к условиям реализации образовательной программы включают в себя общесистемные требования, требования к материально-техническому, учебно-методическому обеспечению, к организации воспитания обучающихся, кадровым и финансовым условиям реализации образовательной программы.</w:t>
      </w:r>
    </w:p>
    <w:p w:rsidR="00F93EDA" w:rsidRDefault="00F93EDA">
      <w:pPr>
        <w:pStyle w:val="ConsPlusNormal"/>
        <w:ind w:firstLine="540"/>
        <w:jc w:val="both"/>
      </w:pPr>
    </w:p>
    <w:p w:rsidR="00F93EDA" w:rsidRDefault="00F93EDA">
      <w:pPr>
        <w:pStyle w:val="ConsPlusTitle"/>
        <w:ind w:firstLine="540"/>
        <w:jc w:val="both"/>
        <w:outlineLvl w:val="2"/>
      </w:pPr>
      <w:r>
        <w:t>4.3. Общесистемные требования к условиям реализации образовательной программы: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а) образовательная организация должна располагать на праве собственности или ином законном основании материально-технической базой, обеспечивающей проведение всех видов учебной деятельности обучающихся, включая проведение демонстрационного экзамена, предусмотренных учебным планом, с учетом ПОП;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б)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образовательной программы с использованием сетевой формы.</w:t>
      </w:r>
    </w:p>
    <w:p w:rsidR="00F93EDA" w:rsidRDefault="00F93EDA">
      <w:pPr>
        <w:pStyle w:val="ConsPlusNormal"/>
        <w:ind w:firstLine="540"/>
        <w:jc w:val="both"/>
      </w:pPr>
    </w:p>
    <w:p w:rsidR="00F93EDA" w:rsidRDefault="00F93EDA">
      <w:pPr>
        <w:pStyle w:val="ConsPlusTitle"/>
        <w:ind w:firstLine="540"/>
        <w:jc w:val="both"/>
        <w:outlineLvl w:val="2"/>
      </w:pPr>
      <w:r>
        <w:t>4.4. Требования к материально-техническому и учебно-методическому обеспечению реализации образовательной программы: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а) специальные помещения должны представлять собой учебные аудитории, лаборатории, мастерские, оснащенные оборудованием, техническими средствами обучения для проведения </w:t>
      </w:r>
      <w:r>
        <w:lastRenderedPageBreak/>
        <w:t>занятий всех видов, предусмотренных образовательной программой, в том числе групповых и индивидуальных консультаций, а также для проведения текущего контроля, промежуточной и государственной итоговой аттестации, помещения для организации самостоятельной и воспитательной работы;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б) все виды учебной деятельности обучающихся, предусмотренные учебным планом, включая промежуточную и государственную итоговую аттестацию, должны быть обеспечены расходными материалами;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в) помещения для организации самостоятельной и воспитательной работы должны быть оснащены компьютерной техникой с возможностью подключения к информационно-телекоммуникационной сети "Интернет" и обеспечением доступа в электронную информационно-образовательную среду образовательной организации (при наличии);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г) допускается замена оборудования его виртуальными аналогами;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д) образовательная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е)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практик, на одного обучающегося из числа лиц, одновременно осваивающих соответствующую дисциплину (модуль), проходящих соответствующую практику;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ж) в качестве основной литературы образовательная организация использует учебники, учебные пособия, предусмотренные ПОП;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з) в случае наличия электронной информационно-образовательной среды допускается замена печатного библиотечного фонда с предоставлением права одновременного доступа не менее 25 процентов обучающихся к цифровой (электронной) библиотеке;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и)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к) обучающиеся инвалиды и лица с ограниченными возможностями здоровья должны быть обеспечены печатными и (или) электронными учебными изданиями, адаптированными при необходимости для обучения указанных обучающихся;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л) образовательная программа должна обеспечиваться учебно-методической документацией по всем учебным дисциплинам (модулям), видам практики, видам государственной итоговой аттестации;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м) рекомендации по иному материально-техническому и учебно-методическому обеспечению реализации образовательной программы определяются ПОП.</w:t>
      </w:r>
    </w:p>
    <w:p w:rsidR="00F93EDA" w:rsidRDefault="00F93EDA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ind w:firstLine="540"/>
        <w:jc w:val="both"/>
      </w:pPr>
    </w:p>
    <w:p w:rsidR="00F93EDA" w:rsidRDefault="00F93EDA">
      <w:pPr>
        <w:pStyle w:val="ConsPlusTitle"/>
        <w:ind w:firstLine="540"/>
        <w:jc w:val="both"/>
        <w:outlineLvl w:val="2"/>
      </w:pPr>
      <w:r>
        <w:t>4.5. Требования к кадровым условиям реализации образовательной программы: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а) 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</w:t>
      </w:r>
      <w:r>
        <w:lastRenderedPageBreak/>
        <w:t xml:space="preserve">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деятельности, указанной в </w:t>
      </w:r>
      <w:hyperlink w:anchor="P80">
        <w:r>
          <w:rPr>
            <w:color w:val="0000FF"/>
          </w:rPr>
          <w:t>пункте 1.14</w:t>
        </w:r>
      </w:hyperlink>
      <w:r>
        <w:t xml:space="preserve"> ФГОС СПО (имеющих стаж работы в данной профессиональной области не менее трех лет);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б) 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в) педагогические 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деятельности, указанной в </w:t>
      </w:r>
      <w:hyperlink w:anchor="P80">
        <w:r>
          <w:rPr>
            <w:color w:val="0000FF"/>
          </w:rPr>
          <w:t>пункте 1.14</w:t>
        </w:r>
      </w:hyperlink>
      <w:r>
        <w:t xml:space="preserve"> ФГОС СПО,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г) 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указанной в </w:t>
      </w:r>
      <w:hyperlink w:anchor="P80">
        <w:r>
          <w:rPr>
            <w:color w:val="0000FF"/>
          </w:rPr>
          <w:t>пункте 1.14</w:t>
        </w:r>
      </w:hyperlink>
      <w:r>
        <w:t xml:space="preserve"> ФГОС СПО,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процентов.</w:t>
      </w:r>
    </w:p>
    <w:p w:rsidR="00F93EDA" w:rsidRDefault="00F93EDA">
      <w:pPr>
        <w:pStyle w:val="ConsPlusNormal"/>
        <w:ind w:firstLine="540"/>
        <w:jc w:val="both"/>
      </w:pPr>
    </w:p>
    <w:p w:rsidR="00F93EDA" w:rsidRDefault="00F93EDA">
      <w:pPr>
        <w:pStyle w:val="ConsPlusTitle"/>
        <w:ind w:firstLine="540"/>
        <w:jc w:val="both"/>
        <w:outlineLvl w:val="2"/>
      </w:pPr>
      <w:r>
        <w:t>4.6. Требование к финансовым условиям реализации образовательной программы: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&lt;9&gt; и Федеральным </w:t>
      </w:r>
      <w:hyperlink r:id="rId42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 &lt;10&gt;.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 xml:space="preserve">&lt;9&gt; Бюджетный </w:t>
      </w:r>
      <w:hyperlink r:id="rId43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1998, N 31, ст. 3823; 2022, N 29, ст. 5305).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&lt;10&gt; Собрание законодательства Российской Федерации, 2012, N 53, ст. 7598; 2022, N 29, ст. 5262.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Title"/>
        <w:ind w:firstLine="540"/>
        <w:jc w:val="both"/>
        <w:outlineLvl w:val="2"/>
      </w:pPr>
      <w:r>
        <w:t>4.7. Требования к применяемым механизмам оценки качества образовательной программы: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а) качество образовательной программы определяется в рамках системы внутренней оценки, а также системы внешней оценки на добровольной основе;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б)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объединения, иных юридических и (или) физических лиц, включая педагогических работников образовательной организации;</w:t>
      </w:r>
    </w:p>
    <w:p w:rsidR="00F93EDA" w:rsidRDefault="00F93EDA">
      <w:pPr>
        <w:pStyle w:val="ConsPlusNormal"/>
        <w:spacing w:before="220"/>
        <w:ind w:firstLine="540"/>
        <w:jc w:val="both"/>
      </w:pPr>
      <w:r>
        <w:t>в) внешняя оценка качества образовательной программы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 в целях признания качества и уровня подготовки выпускников, отвечающих требованиям профессиональных стандартов, требованиям рынка труда к специалистам соответствующего профиля.</w:t>
      </w:r>
    </w:p>
    <w:p w:rsidR="00F93EDA" w:rsidRDefault="00F93EDA">
      <w:pPr>
        <w:pStyle w:val="ConsPlusNormal"/>
        <w:jc w:val="both"/>
      </w:pPr>
      <w:r>
        <w:t xml:space="preserve">(пп. "в" в ред. </w:t>
      </w:r>
      <w:hyperlink r:id="rId44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jc w:val="both"/>
      </w:pPr>
    </w:p>
    <w:p w:rsidR="00F93EDA" w:rsidRDefault="00F93ED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32B5" w:rsidRDefault="00DD32B5">
      <w:bookmarkStart w:id="7" w:name="_GoBack"/>
      <w:bookmarkEnd w:id="7"/>
    </w:p>
    <w:sectPr w:rsidR="00DD32B5" w:rsidSect="00EE5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EDA"/>
    <w:rsid w:val="00016E2B"/>
    <w:rsid w:val="00051EC6"/>
    <w:rsid w:val="00127681"/>
    <w:rsid w:val="00472C97"/>
    <w:rsid w:val="0055608A"/>
    <w:rsid w:val="00954EC8"/>
    <w:rsid w:val="00AC13A1"/>
    <w:rsid w:val="00C8036B"/>
    <w:rsid w:val="00DD32B5"/>
    <w:rsid w:val="00F9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472C97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C97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F93E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3E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3E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472C97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C97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F93E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3E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3E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262&amp;dst=100072" TargetMode="External"/><Relationship Id="rId13" Type="http://schemas.openxmlformats.org/officeDocument/2006/relationships/hyperlink" Target="https://login.consultant.ru/link/?req=doc&amp;base=LAW&amp;n=483090&amp;dst=113305" TargetMode="External"/><Relationship Id="rId18" Type="http://schemas.openxmlformats.org/officeDocument/2006/relationships/hyperlink" Target="https://login.consultant.ru/link/?req=doc&amp;base=LAW&amp;n=501142&amp;dst=4" TargetMode="External"/><Relationship Id="rId26" Type="http://schemas.openxmlformats.org/officeDocument/2006/relationships/hyperlink" Target="https://login.consultant.ru/link/?req=doc&amp;base=LAW&amp;n=214720&amp;dst=100047" TargetMode="External"/><Relationship Id="rId39" Type="http://schemas.openxmlformats.org/officeDocument/2006/relationships/hyperlink" Target="https://login.consultant.ru/link/?req=doc&amp;base=LAW&amp;n=483090&amp;dst=11331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28383&amp;dst=774" TargetMode="External"/><Relationship Id="rId34" Type="http://schemas.openxmlformats.org/officeDocument/2006/relationships/hyperlink" Target="https://login.consultant.ru/link/?req=doc&amp;base=LAW&amp;n=528383&amp;dst=415" TargetMode="External"/><Relationship Id="rId42" Type="http://schemas.openxmlformats.org/officeDocument/2006/relationships/hyperlink" Target="https://login.consultant.ru/link/?req=doc&amp;base=LAW&amp;n=528383" TargetMode="External"/><Relationship Id="rId7" Type="http://schemas.openxmlformats.org/officeDocument/2006/relationships/hyperlink" Target="https://login.consultant.ru/link/?req=doc&amp;base=LAW&amp;n=499281&amp;dst=100051" TargetMode="External"/><Relationship Id="rId12" Type="http://schemas.openxmlformats.org/officeDocument/2006/relationships/hyperlink" Target="https://login.consultant.ru/link/?req=doc&amp;base=LAW&amp;n=377712&amp;dst=175" TargetMode="External"/><Relationship Id="rId17" Type="http://schemas.openxmlformats.org/officeDocument/2006/relationships/hyperlink" Target="https://login.consultant.ru/link/?req=doc&amp;base=LAW&amp;n=483090&amp;dst=113306" TargetMode="External"/><Relationship Id="rId25" Type="http://schemas.openxmlformats.org/officeDocument/2006/relationships/hyperlink" Target="https://login.consultant.ru/link/?req=doc&amp;base=LAW&amp;n=214720&amp;dst=100114" TargetMode="External"/><Relationship Id="rId33" Type="http://schemas.openxmlformats.org/officeDocument/2006/relationships/hyperlink" Target="https://login.consultant.ru/link/?req=doc&amp;base=LAW&amp;n=483090&amp;dst=113318" TargetMode="External"/><Relationship Id="rId38" Type="http://schemas.openxmlformats.org/officeDocument/2006/relationships/hyperlink" Target="https://login.consultant.ru/link/?req=doc&amp;base=LAW&amp;n=517341&amp;dst=100137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501142&amp;dst=4" TargetMode="External"/><Relationship Id="rId20" Type="http://schemas.openxmlformats.org/officeDocument/2006/relationships/hyperlink" Target="https://login.consultant.ru/link/?req=doc&amp;base=LAW&amp;n=483090&amp;dst=113308" TargetMode="External"/><Relationship Id="rId29" Type="http://schemas.openxmlformats.org/officeDocument/2006/relationships/hyperlink" Target="https://login.consultant.ru/link/?req=doc&amp;base=LAW&amp;n=483090&amp;dst=113313" TargetMode="External"/><Relationship Id="rId41" Type="http://schemas.openxmlformats.org/officeDocument/2006/relationships/hyperlink" Target="https://login.consultant.ru/link/?req=doc&amp;base=LAW&amp;n=483090&amp;dst=11332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3090&amp;dst=113305" TargetMode="External"/><Relationship Id="rId11" Type="http://schemas.openxmlformats.org/officeDocument/2006/relationships/hyperlink" Target="https://login.consultant.ru/link/?req=doc&amp;base=LAW&amp;n=375012&amp;dst=100010" TargetMode="External"/><Relationship Id="rId24" Type="http://schemas.openxmlformats.org/officeDocument/2006/relationships/hyperlink" Target="https://login.consultant.ru/link/?req=doc&amp;base=LAW&amp;n=411930&amp;dst=100030" TargetMode="External"/><Relationship Id="rId32" Type="http://schemas.openxmlformats.org/officeDocument/2006/relationships/hyperlink" Target="https://login.consultant.ru/link/?req=doc&amp;base=LAW&amp;n=483090&amp;dst=113317" TargetMode="External"/><Relationship Id="rId37" Type="http://schemas.openxmlformats.org/officeDocument/2006/relationships/hyperlink" Target="https://login.consultant.ru/link/?req=doc&amp;base=LAW&amp;n=494597&amp;dst=100037" TargetMode="External"/><Relationship Id="rId40" Type="http://schemas.openxmlformats.org/officeDocument/2006/relationships/hyperlink" Target="https://login.consultant.ru/link/?req=doc&amp;base=LAW&amp;n=483090&amp;dst=113321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530300&amp;dst=100022" TargetMode="External"/><Relationship Id="rId23" Type="http://schemas.openxmlformats.org/officeDocument/2006/relationships/hyperlink" Target="https://login.consultant.ru/link/?req=doc&amp;base=LAW&amp;n=483090&amp;dst=113309" TargetMode="External"/><Relationship Id="rId28" Type="http://schemas.openxmlformats.org/officeDocument/2006/relationships/hyperlink" Target="https://login.consultant.ru/link/?req=doc&amp;base=LAW&amp;n=483090&amp;dst=113312" TargetMode="External"/><Relationship Id="rId36" Type="http://schemas.openxmlformats.org/officeDocument/2006/relationships/hyperlink" Target="https://login.consultant.ru/link/?req=doc&amp;base=LAW&amp;n=522968&amp;dst=100047" TargetMode="External"/><Relationship Id="rId10" Type="http://schemas.openxmlformats.org/officeDocument/2006/relationships/hyperlink" Target="https://login.consultant.ru/link/?req=doc&amp;base=LAW&amp;n=377712&amp;dst=101634" TargetMode="External"/><Relationship Id="rId19" Type="http://schemas.openxmlformats.org/officeDocument/2006/relationships/hyperlink" Target="https://login.consultant.ru/link/?req=doc&amp;base=LAW&amp;n=483090&amp;dst=113307" TargetMode="External"/><Relationship Id="rId31" Type="http://schemas.openxmlformats.org/officeDocument/2006/relationships/hyperlink" Target="https://login.consultant.ru/link/?req=doc&amp;base=LAW&amp;n=483090&amp;dst=113316" TargetMode="External"/><Relationship Id="rId44" Type="http://schemas.openxmlformats.org/officeDocument/2006/relationships/hyperlink" Target="https://login.consultant.ru/link/?req=doc&amp;base=LAW&amp;n=483090&amp;dst=1133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98508&amp;dst=100012" TargetMode="External"/><Relationship Id="rId14" Type="http://schemas.openxmlformats.org/officeDocument/2006/relationships/hyperlink" Target="https://login.consultant.ru/link/?req=doc&amp;base=LAW&amp;n=530300&amp;dst=101190" TargetMode="External"/><Relationship Id="rId22" Type="http://schemas.openxmlformats.org/officeDocument/2006/relationships/hyperlink" Target="https://login.consultant.ru/link/?req=doc&amp;base=LAW&amp;n=528383&amp;dst=100249" TargetMode="External"/><Relationship Id="rId27" Type="http://schemas.openxmlformats.org/officeDocument/2006/relationships/hyperlink" Target="https://login.consultant.ru/link/?req=doc&amp;base=LAW&amp;n=483090&amp;dst=113310" TargetMode="External"/><Relationship Id="rId30" Type="http://schemas.openxmlformats.org/officeDocument/2006/relationships/hyperlink" Target="https://login.consultant.ru/link/?req=doc&amp;base=LAW&amp;n=483090&amp;dst=113315" TargetMode="External"/><Relationship Id="rId35" Type="http://schemas.openxmlformats.org/officeDocument/2006/relationships/hyperlink" Target="https://login.consultant.ru/link/?req=doc&amp;base=LAW&amp;n=511660" TargetMode="External"/><Relationship Id="rId43" Type="http://schemas.openxmlformats.org/officeDocument/2006/relationships/hyperlink" Target="https://login.consultant.ru/link/?req=doc&amp;base=LAW&amp;n=4957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5628</Words>
  <Characters>32082</Characters>
  <Application>Microsoft Office Word</Application>
  <DocSecurity>0</DocSecurity>
  <Lines>267</Lines>
  <Paragraphs>75</Paragraphs>
  <ScaleCrop>false</ScaleCrop>
  <Company>KGUFKST</Company>
  <LinksUpToDate>false</LinksUpToDate>
  <CharactersWithSpaces>37635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 отдела качества образования</dc:creator>
  <cp:lastModifiedBy>Методист отдела качества образования</cp:lastModifiedBy>
  <cp:revision>1</cp:revision>
  <dcterms:created xsi:type="dcterms:W3CDTF">2026-04-24T06:14:00Z</dcterms:created>
  <dcterms:modified xsi:type="dcterms:W3CDTF">2026-04-24T06:15:00Z</dcterms:modified>
</cp:coreProperties>
</file>